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880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26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205, 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Тарасовой Натальи Александровны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родившейся </w:t>
      </w:r>
      <w:r>
        <w:rPr>
          <w:rStyle w:val="cat-UserDefinedgrp-34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гражданки Российской Федерации, являющейся </w:t>
      </w:r>
      <w:r>
        <w:rPr>
          <w:rStyle w:val="cat-UserDefinedgrp-35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зарегистрированной по адресу: </w:t>
      </w:r>
      <w:r>
        <w:rPr>
          <w:rStyle w:val="cat-UserDefinedgrp-36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сведениям информационных ресурсов Инспекции, а также журналу входящей по</w:t>
      </w:r>
      <w:r>
        <w:rPr>
          <w:rFonts w:ascii="Times New Roman" w:eastAsia="Times New Roman" w:hAnsi="Times New Roman" w:cs="Times New Roman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товой 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от налогоплательщика </w:t>
      </w:r>
      <w:r>
        <w:rPr>
          <w:rStyle w:val="cat-UserDefinedgrp-37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месяцев 2023 года – не позднее 25.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года, в результате чего 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4 п.1 ст. 23, п. 7 ст. 431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рассмотрении дела об административном правонарушении привлекаем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>, будучи извещенн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времени и месте судебного разбирательства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присутствовал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Тарасовой Н.А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0694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от 2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.03.2024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выписки из Единого государственного реестра юридических лиц; справкой об отсутствии декларации к установленному сроку от </w:t>
      </w:r>
      <w:r>
        <w:rPr>
          <w:rFonts w:ascii="Times New Roman" w:eastAsia="Times New Roman" w:hAnsi="Times New Roman" w:cs="Times New Roman"/>
          <w:sz w:val="27"/>
          <w:szCs w:val="27"/>
        </w:rPr>
        <w:t>26.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.2023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10.01.2024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11.01</w:t>
      </w:r>
      <w:r>
        <w:rPr>
          <w:rFonts w:ascii="Times New Roman" w:eastAsia="Times New Roman" w:hAnsi="Times New Roman" w:cs="Times New Roman"/>
          <w:sz w:val="27"/>
          <w:szCs w:val="27"/>
        </w:rPr>
        <w:t>.2024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09.02.2024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.02.2024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Тарасовой Н.А</w:t>
      </w:r>
      <w:r>
        <w:rPr>
          <w:rFonts w:ascii="Times New Roman" w:eastAsia="Times New Roman" w:hAnsi="Times New Roman" w:cs="Times New Roman"/>
          <w:sz w:val="27"/>
          <w:szCs w:val="27"/>
        </w:rPr>
        <w:t>. полностью доказанной. Её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по ст. 15.5 КоАП РФ – нарушение установленных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22.12.2022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привлекавшейся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Тарасовой Н.А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наказание в виде административного штрафа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минимальной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предусмотренном санкцией размере.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Тарасову Наталью Александровну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0,00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3Сургутского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0412365400585008802415156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101.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5742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569C-9CF9-4C0B-BAAA-BE08B0CAF28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